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МІНІСТЕРСТВО ОХОРОНИ ЗДОРОВ’Я УКРАЇНИ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ДОНЕЦЬКИЙ НАЦІОНАЛЬНИЙ МЕДИЧНИЙ УНІВЕРСИТЕТ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111F49" w:rsidRPr="00C15428" w:rsidRDefault="00C2797B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</w:t>
      </w:r>
      <w:r w:rsidR="00111F49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ступного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випробування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з дисципліни «Іноземна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мова (за професійним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спрямуванням)»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(англійська)</w:t>
      </w:r>
    </w:p>
    <w:p w:rsidR="00111F49" w:rsidRPr="00C15428" w:rsidRDefault="00C2797B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</w:t>
      </w:r>
      <w:r w:rsidR="00111F49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ступників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за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освітньо-кваліфікаційним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рівнем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«магістр» на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базі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освітньо-кваліфікаційного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рівня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«Спеціаліст»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(друга вища освіта, очно-заочна форма навчання)</w:t>
      </w: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C2797B" w:rsidRPr="00C15428" w:rsidRDefault="00C2797B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C2797B" w:rsidRPr="00C15428" w:rsidRDefault="00C2797B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11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КРАМАТОРСЬК - 2020</w:t>
      </w:r>
    </w:p>
    <w:p w:rsidR="00080CF2" w:rsidRDefault="00080CF2" w:rsidP="00C2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080CF2" w:rsidRDefault="00080CF2" w:rsidP="00C2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1. ПОЯСНЮВАЛЬНА ЗАПИСКА</w:t>
      </w:r>
    </w:p>
    <w:p w:rsidR="00C2797B" w:rsidRPr="00C15428" w:rsidRDefault="00C2797B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Вступне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випробування з іноземної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 професійним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спрямуванням до магістратури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має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меті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изначення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рівня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підготовки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вступників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магістратури в галузі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іноземних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мов. Складання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вступного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іспиту з іноземної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 є обов‘язковим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вступу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магістратури.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Вступне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випробування з іноземної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вступників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магістратури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проводиться за Програмою, затвердженою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Вченою радою Донецького національного медичного університету.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Порядок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проведення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вступного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іспиту.</w:t>
      </w:r>
    </w:p>
    <w:p w:rsidR="00C2797B" w:rsidRPr="00C15428" w:rsidRDefault="00C2797B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проведення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вступного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іспиту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створюється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державна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комісія у складі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олови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членів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комісії. Комісія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організову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ється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щорічно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наказом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ректора.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складання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вступного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іспиту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допускаються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вступники, які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виконали у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овному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обсязі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навчальну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програму і отримали диплом спеціаліста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або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магістра.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Вступний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 проводиться іноземною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мовою.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Вступний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 з іноземної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вступників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проводиться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основі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рограми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навчальної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дисципліни «Іноземна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мова» 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усіх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напрямів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підготовки у формі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Об’єктом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контролю є рівень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засвоєння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практичних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навичок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вмінь з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іноземної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Форма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контролю: виконання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Оцінка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вступний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виставляється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після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його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закінчення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підставі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складання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балів, отриманих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вступником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відповіді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кожне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завдання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Рівень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володіння ІМ вступника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оцінюється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 100-бальною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шкалою.</w:t>
      </w: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Вступний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проводиться у формі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тесту. Тривалість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тесту </w:t>
      </w:r>
      <w:r w:rsidR="00B73048">
        <w:rPr>
          <w:rFonts w:ascii="Arial" w:eastAsia="TimesNewRomanPSMT" w:hAnsi="Arial" w:cs="Arial"/>
          <w:sz w:val="28"/>
          <w:szCs w:val="28"/>
          <w:lang w:val="uk-UA"/>
        </w:rPr>
        <w:t>–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3 години.</w:t>
      </w:r>
    </w:p>
    <w:p w:rsidR="00C2797B" w:rsidRPr="00C15428" w:rsidRDefault="00C2797B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uk-UA"/>
        </w:rPr>
      </w:pPr>
    </w:p>
    <w:p w:rsidR="00111F49" w:rsidRPr="00C15428" w:rsidRDefault="00111F49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Структура</w:t>
      </w:r>
      <w:r w:rsidR="00C2797B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вступного</w:t>
      </w:r>
      <w:r w:rsid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іспиту</w:t>
      </w:r>
    </w:p>
    <w:p w:rsidR="00C2797B" w:rsidRPr="00C15428" w:rsidRDefault="00C2797B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EB2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Вступний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іспит, який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проходить у формі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письмового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тестування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включає</w:t>
      </w:r>
      <w:r w:rsidR="00C2797B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завдання з аудіювання, читання, письма, лексики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граматики, що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передбачають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змогу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оцінити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можливість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реалізації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поставленої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мети у плані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використання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іноземної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 у професійній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діяльності. Він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складається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із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наступних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завдань:</w:t>
      </w:r>
    </w:p>
    <w:p w:rsidR="00111F49" w:rsidRPr="00C15428" w:rsidRDefault="00111F49" w:rsidP="00EB24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Перше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80CF2">
        <w:rPr>
          <w:rFonts w:ascii="Times New Roman" w:eastAsia="TimesNewRomanPSMT" w:hAnsi="Times New Roman" w:cs="Times New Roman"/>
          <w:sz w:val="28"/>
          <w:szCs w:val="28"/>
          <w:lang w:val="uk-UA"/>
        </w:rPr>
        <w:t>завдання – «</w:t>
      </w:r>
      <w:r w:rsidR="00080CF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>Аудіювання»</w:t>
      </w:r>
      <w:r w:rsidRPr="00C15428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EB2488" w:rsidRPr="00C154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>–</w:t>
      </w:r>
      <w:r w:rsidRPr="00C154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прослуховування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текстів / тексту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темі та виконання</w:t>
      </w:r>
      <w:r w:rsidR="00614614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десяти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завдань.</w:t>
      </w:r>
    </w:p>
    <w:p w:rsidR="00111F49" w:rsidRPr="00C15428" w:rsidRDefault="00111F49" w:rsidP="00EB24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Друге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завдання – </w:t>
      </w:r>
      <w:r w:rsidR="00080CF2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«</w:t>
      </w:r>
      <w:r w:rsidRPr="00C15428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>Читання</w:t>
      </w:r>
      <w:r w:rsidR="00080CF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>»</w:t>
      </w:r>
      <w:r w:rsidRPr="00C15428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–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читання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науково-популярного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тексту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виконання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14614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десяти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завдань.</w:t>
      </w:r>
    </w:p>
    <w:p w:rsidR="00614614" w:rsidRPr="00C15428" w:rsidRDefault="00111F49" w:rsidP="00EB24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Третє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завдання – </w:t>
      </w:r>
      <w:r w:rsidR="00080CF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C15428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>Використання</w:t>
      </w:r>
      <w:r w:rsidR="00EB2488" w:rsidRPr="00C15428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80CF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>мови»</w:t>
      </w:r>
      <w:r w:rsidRPr="00C15428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80CF2">
        <w:rPr>
          <w:rFonts w:ascii="Arial" w:eastAsia="TimesNewRomanPSMT" w:hAnsi="Arial" w:cs="Arial"/>
          <w:sz w:val="28"/>
          <w:szCs w:val="28"/>
          <w:lang w:val="uk-UA"/>
        </w:rPr>
        <w:t>–</w:t>
      </w:r>
      <w:r w:rsidR="00080C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14614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написання лексико-граматичного тесту та виконання 30 завдань</w:t>
      </w:r>
    </w:p>
    <w:p w:rsidR="00EB2488" w:rsidRPr="00C15428" w:rsidRDefault="00EB2488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EB2488" w:rsidRPr="00C15428" w:rsidRDefault="00EB2488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EB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2. ЗМІСТ ВСТУПНОГО ВИПРОБУВАННЯ</w:t>
      </w:r>
      <w:r w:rsidR="00EB2488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З ІНОЗЕМНОЇ МОВИ</w:t>
      </w:r>
    </w:p>
    <w:p w:rsidR="00EB2488" w:rsidRPr="00C15428" w:rsidRDefault="00EB2488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Письмове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тестування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передбачає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перевірку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оцінку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рівня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вмінь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аудіювання, читання, письма, граматичних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лексичних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навичок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вступників.</w:t>
      </w:r>
    </w:p>
    <w:p w:rsidR="00C8494D" w:rsidRPr="00C15428" w:rsidRDefault="00C8494D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Для</w:t>
      </w:r>
      <w:r w:rsidR="00EB2488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вступу в магістратуру</w:t>
      </w:r>
      <w:r w:rsidR="00EB2488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необхідно:</w:t>
      </w:r>
    </w:p>
    <w:p w:rsidR="00111F49" w:rsidRPr="00C15428" w:rsidRDefault="00EB2488" w:rsidP="00C279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озуміти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тексти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як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загального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характеру, так і ті, що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пов’язані з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спеціальністю, а також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матеріали з газет, спеціалізованих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журналів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11F49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Інтернет – джерел;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розуміти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намір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автора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письмового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тексту і комунікативні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наслідки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висловлювання;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розуміти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автентичну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академічну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професійну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лексику;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володіти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мовними</w:t>
      </w:r>
      <w:proofErr w:type="spellEnd"/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поняттями і термінами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іноземної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мови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розпізнавати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мовні</w:t>
      </w:r>
      <w:proofErr w:type="spellEnd"/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явища і закономірності;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розуміти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значення і особливості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функціонування мовних одиниць;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застосовувати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знання з лексики, фразеології, словотвору, морфології,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синтаксису;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використовувати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різноманітні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граматичні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конструкції;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оформлювати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письмове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мовлення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відповідно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орфографічних,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граматичних і пунктуаційних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норм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відповідної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іноземної</w:t>
      </w:r>
      <w:r w:rsidR="00EB248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мови.</w:t>
      </w:r>
    </w:p>
    <w:p w:rsidR="00C8494D" w:rsidRPr="00C15428" w:rsidRDefault="00C8494D" w:rsidP="00EB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Вступникам в магістратуру</w:t>
      </w:r>
      <w:r w:rsidR="00C8494D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необхідно</w:t>
      </w:r>
      <w:r w:rsidR="00C8494D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мати</w:t>
      </w:r>
      <w:r w:rsidR="00C8494D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робочі</w:t>
      </w:r>
      <w:r w:rsidR="00C8494D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знання: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граматичних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структур, що є необхідними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гнучкого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вираження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відповідних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функцій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понять, а також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розуміння і продукування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широкого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кола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текстів в академічній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сферах;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правил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синтаксису, щоб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дати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можливість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розпізнавати і продукувати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широке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коло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текстів в академічній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сферах;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широкого діапазону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словникового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запасу (у тому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числі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термінології), що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є необхідним в академічній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професійній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сферах;</w:t>
      </w:r>
    </w:p>
    <w:p w:rsidR="00111F49" w:rsidRPr="00C15428" w:rsidRDefault="00111F49" w:rsidP="00EB2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мовних форм, властивих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офіційних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розмовних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реєстрів.</w:t>
      </w:r>
    </w:p>
    <w:p w:rsidR="00C8494D" w:rsidRPr="00C15428" w:rsidRDefault="00C8494D" w:rsidP="00C2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Перелік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граматичних</w:t>
      </w:r>
      <w:r w:rsidR="00C8494D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тем</w:t>
      </w:r>
      <w:r w:rsidR="00C8494D"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для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тестування: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C15428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АНГЛІЙСЬКА МОВА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1. Іменник.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Злічувані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незлічувані</w:t>
      </w:r>
      <w:proofErr w:type="spellEnd"/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іменники. Число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іменника. Відмінювання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іменників. Загальний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відмінок. Присвійний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відмінок. Рід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іменника.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2. Артикль. Вживання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неозначенного</w:t>
      </w:r>
      <w:proofErr w:type="spellEnd"/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артикля. Вживання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означенного</w:t>
      </w:r>
      <w:proofErr w:type="spellEnd"/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артикля.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Невживання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артиклів 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a</w:t>
      </w:r>
      <w:r w:rsidR="00080CF2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/</w:t>
      </w:r>
      <w:r w:rsidR="00080CF2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an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the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 Місце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артикля в реченні.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3. Прикметник. Ступені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порівняння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прикметників. Порівняльні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конструкції з</w:t>
      </w:r>
      <w:r w:rsidR="00C8494D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прикметниками. Прикметники,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щозакінчуютьсяна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-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ing</w:t>
      </w:r>
      <w:proofErr w:type="spellEnd"/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 -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ed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 Прикметники,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щовживаються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прийменниками.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4. Числівник. Кількісні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числівники. Порядкові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числівники. Дробові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числівники.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5. Займенник. Особові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Вживання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займенника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it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 Присвійні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Зворотні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Взаємні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Вказівні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Питальні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Сполучні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Відносн</w:t>
      </w:r>
      <w:bookmarkStart w:id="0" w:name="_GoBack"/>
      <w:bookmarkEnd w:id="0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080C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Означальні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Неозначені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займенники. Заперечні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займенники.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Much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m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any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, </w:t>
      </w:r>
      <w:r w:rsidR="00080CF2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l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ittle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,</w:t>
      </w:r>
      <w:r w:rsidR="00F02A58"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f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ew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6. Дієслово. Неправильні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дієслова. Уживання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дієслів з прийменниками.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Способи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дієслова. Прості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часи в активному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стані. Тривалі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часи в активному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стані. Дієслова, що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вживаються в часових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формах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Continuous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Be</w:t>
      </w:r>
      <w:proofErr w:type="spellEnd"/>
      <w:r w:rsidR="00080CF2"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going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to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Доконані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часи в активному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стані. Доконано-тривалі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часи в активному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стані.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Порівняльне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вживання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видо-часових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форм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дієслова.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7. Пасивний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стан. Трансформація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речень з активною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формою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дієслова-присудка в пасивну.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8. Модальні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дієслова.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Can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080CF2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080CF2" w:rsidRPr="00080CF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c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ould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May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080CF2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m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ight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Must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080CF2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F02A58"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have</w:t>
      </w:r>
      <w:proofErr w:type="spellEnd"/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to</w:t>
      </w:r>
      <w:proofErr w:type="spellEnd"/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Shall</w:t>
      </w:r>
      <w:proofErr w:type="spellEnd"/>
      <w:r w:rsidR="00B7304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,</w:t>
      </w:r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s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hould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,</w:t>
      </w:r>
      <w:r w:rsidR="00F02A58"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o</w:t>
      </w:r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ught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to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Will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Would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Need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Dare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Be</w:t>
      </w:r>
      <w:proofErr w:type="spellEnd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to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 Порівняльне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вживання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модальних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дієслів.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9. Наказовий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спосіб.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10. Умовний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спосіб.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11. Неособові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форми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дієслова. Інфінітив. Уживання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інфінітива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без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частки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C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to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Дієприкметник. Герундій. Уживання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герундія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або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інфінітива.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12. Прислівник. Творення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прислівників. Ступені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порівняння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прислівників.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Порівняльні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конструкції з прислівниками. Місце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прислівників у реченні.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13. Прийменник. Місце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прийменника в реченні.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14. Сполучник.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15. Типи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речень. Типи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питальних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речень. Загальні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запитання. Спеціальні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запитання. Альтернативні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запитання. Розділові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запитання. Окличні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14614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Спону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кальні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16. Порядок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слів в англійському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розповідному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реченні. Місце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додатка в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реченні. Місце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означення в реченні. Місце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обставини в реченні. Зворотній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порядок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слів, або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інверсія.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17. Складносурядне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18. Складнопідрядне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підметові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присудкові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додаткові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означальні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обставинні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часу.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місця.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причини.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мети.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наслідку. Підрядні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способу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дії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порівняння. Підрядні</w:t>
      </w:r>
      <w:r w:rsidR="00080CF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речення</w:t>
      </w:r>
      <w:r w:rsidR="00080CF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умови.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Zero</w:t>
      </w:r>
      <w:proofErr w:type="spellEnd"/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Conditional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>First</w:t>
      </w:r>
      <w:proofErr w:type="spellEnd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>Conditional</w:t>
      </w:r>
      <w:proofErr w:type="spellEnd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>Second</w:t>
      </w:r>
      <w:proofErr w:type="spellEnd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>Conditional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Third</w:t>
      </w:r>
      <w:proofErr w:type="spellEnd"/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048">
        <w:rPr>
          <w:rFonts w:ascii="Times New Roman" w:eastAsia="TimesNewRomanPSMT" w:hAnsi="Times New Roman" w:cs="Times New Roman"/>
          <w:sz w:val="28"/>
          <w:szCs w:val="28"/>
          <w:lang w:val="uk-UA"/>
        </w:rPr>
        <w:t>Conditional</w:t>
      </w:r>
      <w:proofErr w:type="spellEnd"/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11F49" w:rsidRPr="00C15428" w:rsidRDefault="00111F49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19. Узгодження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часів. Непряма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мова. Непрямі</w:t>
      </w:r>
      <w:r w:rsidR="00F02A58"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15428">
        <w:rPr>
          <w:rFonts w:ascii="Times New Roman" w:eastAsia="TimesNewRomanPSMT" w:hAnsi="Times New Roman" w:cs="Times New Roman"/>
          <w:sz w:val="28"/>
          <w:szCs w:val="28"/>
          <w:lang w:val="uk-UA"/>
        </w:rPr>
        <w:t>запитання.</w:t>
      </w:r>
    </w:p>
    <w:p w:rsidR="00C2797B" w:rsidRPr="00C15428" w:rsidRDefault="00C2797B" w:rsidP="00C8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sectPr w:rsidR="00C2797B" w:rsidRPr="00C15428" w:rsidSect="00B730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B2"/>
    <w:multiLevelType w:val="hybridMultilevel"/>
    <w:tmpl w:val="63A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E2E"/>
    <w:multiLevelType w:val="hybridMultilevel"/>
    <w:tmpl w:val="0BAAB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1143D4"/>
    <w:multiLevelType w:val="hybridMultilevel"/>
    <w:tmpl w:val="D90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FBA"/>
    <w:rsid w:val="00080CF2"/>
    <w:rsid w:val="00111F49"/>
    <w:rsid w:val="00444463"/>
    <w:rsid w:val="00614614"/>
    <w:rsid w:val="007C5FBA"/>
    <w:rsid w:val="00B73048"/>
    <w:rsid w:val="00C15428"/>
    <w:rsid w:val="00C2797B"/>
    <w:rsid w:val="00C8494D"/>
    <w:rsid w:val="00D507D7"/>
    <w:rsid w:val="00DF6AC7"/>
    <w:rsid w:val="00EB2488"/>
    <w:rsid w:val="00F0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19E9-C078-4C96-9126-0034D60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2020-06-01T13:48:00Z</dcterms:created>
  <dcterms:modified xsi:type="dcterms:W3CDTF">2020-06-02T13:49:00Z</dcterms:modified>
</cp:coreProperties>
</file>